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151</w:t>
      </w:r>
    </w:p>
    <w:p>
      <w:r>
        <w:t>Bundesgericht (BGE), 1985-07-05, DE</w:t>
      </w:r>
    </w:p>
    <w:p>
      <w:r>
        <w:rPr>
          <w:b/>
        </w:rPr>
        <w:t xml:space="preserve">Quelle: </w:t>
      </w:r>
      <w:r>
        <w:t>https://mcp.opencaselaw.ch/entscheid/bge_111 IV 151</w:t>
      </w:r>
    </w:p>
    <w:p>
      <w:r>
        <w:t>FR: ATF 111 IV 151</w:t>
      </w:r>
    </w:p>
    <w:p>
      <w:r>
        <w:t>IT: DTF 111 IV 151</w:t>
      </w:r>
    </w:p>
    <w:p>
      <w:pPr>
        <w:pStyle w:val="Heading2"/>
      </w:pPr>
      <w:r>
        <w:t>Regeste</w:t>
      </w:r>
    </w:p>
    <w:p>
      <w:r>
        <w:t>Regeste Art. 259 Abs. 1 und 2 StGB. Art. 10 EMRK. 1. Aufforderung zu Verbrechen bzw. Vergehen mit Gewalttätigkeit durch Aufkleben entsprechender Plakate auf öffentlichem Grund (E. 1-3). 2. Frage der verfassungskonformen und Art. 10 EMRK entsprechenden Auslegung (E. 6).</w:t>
      </w:r>
    </w:p>
    <w:p>
      <w:pPr>
        <w:pStyle w:val="Heading2"/>
      </w:pPr>
      <w:r>
        <w:t>Erwägungen</w:t>
      </w:r>
    </w:p>
    <w:p>
      <w:r>
        <w:rPr>
          <w:b/>
        </w:rPr>
        <w:t>E. 1</w:t>
      </w:r>
    </w:p>
    <w:p>
      <w:r>
        <w:t>Der Beschwerdeführer macht geltend, die Aufforderung zu Verbrechen und Gewalttätigkeit im Sinne des Art. 259 Abs. 1 und 2 StGB müsse so beschaffen sein, dass sie als solche schon den öffentlichen Frieden störe; sie müsse deshalb explizit auf die Begehung von Delikten gerichtet sein, und dies müsse unzweideutig und unmissverständlich schon im Wortlaut der Aufforderung zum Ausdruck kommen. Der Text des mit dem Titel "Abbruchstop am Tessinerplatz!!!" versehenen Plakats enthalte keine solche Aufforderung. Das Obergericht habe sich denn auch zur Begründung seines Urteils mit einer Konstruktion eines Gesamtzusammenhangs behelfen müssen, wobei die von ihm konstruierten Bezüge und Zusammenhänge zwischen einzelnen Passagen und die aus dem Plakat abgeleiteten Schlussfolgerungen in keiner Weise zwingend seien. Sie seien gegenteils willkürlich, was bereits mit der kantonalen Nichtigkeitsbeschwerde gerügt worden sei. Es gebe Interpretationen des Plakates, die um ein vieles vernünftiger seien. a) Der in Art. 259 Abs. 1 und 2 StGB verwendete Begriff der "Aufforderung" ist kein anderer als der im verwandten Tatbestand der Aufforderung und Verleitung zur Verletzung militärischer Dienstpflicht ( Art. 276 StGB ) enthaltene. Wie das Bundesgericht in Auslegung dieser letzteren Bestimmung entschieden hat, bedarf es zur Annahme einer Aufforderung einer Äusserung von einer gewissen Eindringlichkeit, die nach Form und Inhalt geeignet ist, den Willen der Adressaten zu beeinflussen ( BGE 99 IV 94 , BGE 97 IV 105 ). Ein solcher Appell muss jedoch das Delikt, zu dessen BGE 111 IV 151 S. 153 Begehung aufgerufen wird, nicht explizit, d.h. mit Namen nennen (Hafter, BT I S. 452; Logoz, BT II S. 559; offenbar anderer Meinung Stratenwerth, 3. Aufl., BT II S. 201). Es genügt, wenn für den unbefangenen Leser aus dem Text des Aufrufs erkennbar ist, auf was für ein Verbrechen oder Vergehen der Täter abzielt. Das aber kann sich aus dem Gesamtzusammenhang jenes Appells ergeben. Entsprechend hat denn auch der Kassationshof in einem den Art. 276 StGB betreffenden Anwendungsfall auf den gesamten Zusammenhang des Textes abgestellt und selbst eine in Frageform gehaltene Äusserung als Aufforderung zur Verweigerung der Militärdienstpflicht genügen lassen (nicht veröffentlichtes Urteil vom 14. Dezember 1973 i.S. F. und Kons.). Es besteht kein Grund, Art. 259 Abs. 1 und 2 StGB insoweit enger zu fassen. b) Geht man vom Text des Flugblatts aus, das der Beschwerdeführer am 9. Dezember 1982 am Predigerplatz in Zürich auf eine Signalisationstafel geklebt hat, so kann kein Zweifel bestehen, dass damit namentlich zur Begehung von Brandanschlägen, Sachbeschädigungen usw., d.h. zu "Aktionen" aufgerufen wurde, wie sie nach dem ausdrücklichen Hinweis im Plakattext in "der letzten Zeit" durchgeführt wurden, um den "Geschäftemachern der Innenstadt", den "Bonzen" Angst einzujagen. Mit dem Appell an die "Autonomen (Gehirn-)Zellen", sich an die "Arbeit" zu machen, wurden die Leser eindringlich aufgerufen, erneut in gleicher oder ähnlicher Art vorzugehen, um jenen "Geschäftemachern" keine Ruhe zu lassen. Das war für den unbefangenen Leser des Textes ohne weiteres erkennbar. Dieser wurde damit - wie die Vorinstanz zutreffend annahm - zu Verbrechen bzw. zu Vergehen mit Gewalttätigkeiten zumindest gegen Sachen aufgerufen, und es wurde nicht bloss eine Billigung solcher Aktionen zum Ausdruck gebracht. Dass unter den bereits durchgeführten Aktionen auch die Verwendung stinkender Buttersäure erwähnt wurde, ändert am Gesagten nichts. Auch wenn in der Verwendung eines solchen Mittels keine Gewalttätigkeit im Sinne des Gesetzes liegen sollte, bleibt jedenfalls die Tatsache bestehen, dass der Aufruf Brandanschläge und Sachbeschädigungen einschloss, die zweifellos Delikte darstellen, zu deren Begehung nach Art. 259 StGB nicht ungestraft öffentlich aufgefordert werden darf.</w:t>
      </w:r>
    </w:p>
    <w:p>
      <w:r>
        <w:rPr>
          <w:b/>
        </w:rPr>
        <w:t>E. 2</w:t>
      </w:r>
    </w:p>
    <w:p>
      <w:r>
        <w:t>Die Aufforderung war zudem eine öffentliche, hat doch der Beschwerdeführer das Plakat in Zürich auf dem Predigerplatz auf eine dortige Strassensignalisationstafel aufgeklebt, wo es von einem unbestimmten Personenkreis gesehen und gelesen werden BGE 111 IV 151 S. 154 konnte. Dass - wie S. meint - der Auffordernde die "Frechheit" haben müsse, selber öffentlich aufzutreten, verlangt Art. 259 StGB nicht. Das Gesetz spricht einzig von der öffentlichen Aufforderung, nicht auch davon, dass der Auffordernde sich bei seinem Appell persönlich einem unbestimmten Kreis von Personen zeigen müsse.</w:t>
      </w:r>
    </w:p>
    <w:p>
      <w:r>
        <w:rPr>
          <w:b/>
        </w:rPr>
        <w:t>E. 3</w:t>
      </w:r>
    </w:p>
    <w:p>
      <w:r>
        <w:t>Nicht erforderlich ist ferner der Nachweis, dass jemand tatsächlich von der Aufforderung Kenntnis genommen hat. Der Tatbestand des Art. 259 StGB umschreibt ein Gefährdungsdelikt, und dieses ist mit der Aufforderung vollendet ( BGE 97 IV 109 ; Hafter, a.a.O., S. 452); eine Gefährdung des öffentlichen Friedens liegt nämlich schon darin, dass die Schrift an einer allgemein zugänglichen Stelle angebracht und damit die Möglichkeit geschaffen wird, dass ein grösserer, durch persönliche Beziehungen nicht zusammenhängender Kreis von Personen sie sehen und lesen und durch die Aufforderung beeinflusst werden kann. Wie lange diese Möglichkeit in concreto besteht, ist ohne Belang. Nach der verbindlichen Feststellung des Obergerichts hatte der Beschwerdeführer das Flugblatt vollständig aufgeklebt, und es hing dieses jedenfalls einige Minuten lang, bis Polizeibeamte darauf aufmerksam wurden und es nach Feststellung seines Inhalts wieder entfernten.</w:t>
      </w:r>
    </w:p>
    <w:p>
      <w:r>
        <w:rPr>
          <w:b/>
        </w:rPr>
        <w:t>E. 6</w:t>
      </w:r>
    </w:p>
    <w:p>
      <w:r>
        <w:t>Der Einwand des Beschwerdeführers schliesslich, die Auslegung des Art. 259 StGB durch das Obergericht verletze das verfassungsmässige Recht der Meinungsäusserungsfreiheit und den Art. 10 EMRK , ist unbegründet. Die vorinstanzliche Interpretation des Art. 259 StGB entspricht Sinn und Zweck dieser Norm, und es ist nicht ersichtlich, inwiefern sie nicht verfassungskonform sein sollte. Der Beschwerdeführer übersieht zudem, dass die Meinungsäusserungsfreiheit grundsätzlich nur im Rahmen der jeweiligen Gesetzgebung gewährleistet ist (s. BGE 107 IV 210 E. 2a) und dass im Rahmen der eng umschriebenen Tatbestände des StGB für eine über die teleologische Auslegung der Norm selber hinausreichende Interpretation nach der Verfassung praktisch kein Raum bleibt. Im übrigen enthält auch Art. 10 Ziff. 2 EMRK einen ausdrücklichen Vorbehalt zugunsten der in einer demokratischen Gesellschaft im Interesse der öffentlichen Sicherheit usw. gesetzlich vorgesehenen Strafdrohungen.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